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1E00" w:rsidRDefault="006A1E00" w:rsidP="006A1E00">
      <w:pPr>
        <w:jc w:val="center"/>
        <w:rPr>
          <w:b/>
          <w:sz w:val="28"/>
          <w:szCs w:val="28"/>
        </w:rPr>
      </w:pPr>
      <w:bookmarkStart w:id="0" w:name="_GoBack"/>
      <w:bookmarkEnd w:id="0"/>
      <w:r>
        <w:rPr>
          <w:b/>
          <w:sz w:val="28"/>
          <w:szCs w:val="28"/>
        </w:rPr>
        <w:t>SINTESIS DEL ACTA 65 de fecha 27 de mayo de 2019</w:t>
      </w:r>
    </w:p>
    <w:p w:rsidR="006A1E00" w:rsidRDefault="006A1E00" w:rsidP="006A1E00"/>
    <w:p w:rsidR="006A1E00" w:rsidRPr="00F17A81" w:rsidRDefault="006A1E00" w:rsidP="006A1E00">
      <w:pPr>
        <w:ind w:left="-142"/>
        <w:jc w:val="center"/>
        <w:rPr>
          <w:rFonts w:ascii="Arial" w:hAnsi="Arial" w:cs="Arial"/>
          <w:b/>
        </w:rPr>
      </w:pPr>
      <w:r w:rsidRPr="00F17A81">
        <w:rPr>
          <w:rFonts w:ascii="Arial" w:hAnsi="Arial" w:cs="Arial"/>
          <w:b/>
        </w:rPr>
        <w:t xml:space="preserve">Orden del Día </w:t>
      </w:r>
    </w:p>
    <w:p w:rsidR="006A1E00" w:rsidRDefault="006A1E00" w:rsidP="006A1E00">
      <w:pPr>
        <w:jc w:val="center"/>
        <w:rPr>
          <w:rFonts w:ascii="Arial" w:hAnsi="Arial" w:cs="Arial"/>
          <w:b/>
        </w:rPr>
      </w:pPr>
      <w:r>
        <w:rPr>
          <w:rFonts w:ascii="Arial" w:hAnsi="Arial" w:cs="Arial"/>
          <w:b/>
        </w:rPr>
        <w:t xml:space="preserve"> Sesión Ordinaria del 27 de mayo</w:t>
      </w:r>
      <w:r w:rsidRPr="00F17A81">
        <w:rPr>
          <w:rFonts w:ascii="Arial" w:hAnsi="Arial" w:cs="Arial"/>
          <w:b/>
        </w:rPr>
        <w:t xml:space="preserve"> de 2019</w:t>
      </w:r>
    </w:p>
    <w:p w:rsidR="006A1E00" w:rsidRPr="00F17A81" w:rsidRDefault="006A1E00" w:rsidP="006A1E00">
      <w:pPr>
        <w:jc w:val="center"/>
        <w:rPr>
          <w:rFonts w:ascii="Arial" w:hAnsi="Arial" w:cs="Arial"/>
          <w:b/>
        </w:rPr>
      </w:pPr>
    </w:p>
    <w:tbl>
      <w:tblPr>
        <w:tblpPr w:leftFromText="141" w:rightFromText="141" w:horzAnchor="margin" w:tblpY="405"/>
        <w:tblW w:w="8970" w:type="dxa"/>
        <w:tblLayout w:type="fixed"/>
        <w:tblLook w:val="04A0" w:firstRow="1" w:lastRow="0" w:firstColumn="1" w:lastColumn="0" w:noHBand="0" w:noVBand="1"/>
      </w:tblPr>
      <w:tblGrid>
        <w:gridCol w:w="1119"/>
        <w:gridCol w:w="7851"/>
      </w:tblGrid>
      <w:tr w:rsidR="006A1E00" w:rsidRPr="00F17A81" w:rsidTr="00725CFE">
        <w:tc>
          <w:tcPr>
            <w:tcW w:w="1119" w:type="dxa"/>
          </w:tcPr>
          <w:p w:rsidR="006A1E00" w:rsidRPr="00F17A81" w:rsidRDefault="006A1E00" w:rsidP="00725CFE">
            <w:pPr>
              <w:rPr>
                <w:rFonts w:ascii="Arial" w:hAnsi="Arial" w:cs="Arial"/>
              </w:rPr>
            </w:pPr>
          </w:p>
        </w:tc>
        <w:tc>
          <w:tcPr>
            <w:tcW w:w="7851" w:type="dxa"/>
          </w:tcPr>
          <w:p w:rsidR="006A1E00" w:rsidRPr="00F17A81" w:rsidRDefault="006A1E00" w:rsidP="00725CFE">
            <w:pPr>
              <w:jc w:val="both"/>
              <w:rPr>
                <w:rFonts w:ascii="Arial" w:hAnsi="Arial" w:cs="Arial"/>
              </w:rPr>
            </w:pPr>
          </w:p>
        </w:tc>
      </w:tr>
    </w:tbl>
    <w:tbl>
      <w:tblPr>
        <w:tblW w:w="8974" w:type="dxa"/>
        <w:tblInd w:w="-18" w:type="dxa"/>
        <w:tblLayout w:type="fixed"/>
        <w:tblLook w:val="0000" w:firstRow="0" w:lastRow="0" w:firstColumn="0" w:lastColumn="0" w:noHBand="0" w:noVBand="0"/>
      </w:tblPr>
      <w:tblGrid>
        <w:gridCol w:w="1763"/>
        <w:gridCol w:w="867"/>
        <w:gridCol w:w="6344"/>
      </w:tblGrid>
      <w:tr w:rsidR="006A1E00" w:rsidRPr="00A64534" w:rsidTr="00725CFE">
        <w:trPr>
          <w:trHeight w:val="3920"/>
        </w:trPr>
        <w:tc>
          <w:tcPr>
            <w:tcW w:w="1763" w:type="dxa"/>
            <w:shd w:val="clear" w:color="auto" w:fill="auto"/>
          </w:tcPr>
          <w:p w:rsidR="006A1E00" w:rsidRDefault="006A1E00" w:rsidP="00725CFE">
            <w:pPr>
              <w:rPr>
                <w:rFonts w:ascii="Arial" w:eastAsia="Calibri" w:hAnsi="Arial" w:cs="Arial"/>
                <w:b/>
              </w:rPr>
            </w:pPr>
            <w:r>
              <w:rPr>
                <w:rFonts w:ascii="Arial" w:eastAsia="Calibri" w:hAnsi="Arial" w:cs="Arial"/>
                <w:b/>
              </w:rPr>
              <w:t xml:space="preserve"> </w:t>
            </w:r>
          </w:p>
          <w:p w:rsidR="006A1E00" w:rsidRPr="00A64534" w:rsidRDefault="006A1E00" w:rsidP="00725CFE">
            <w:pPr>
              <w:rPr>
                <w:rFonts w:ascii="Arial" w:eastAsia="Calibri" w:hAnsi="Arial" w:cs="Arial"/>
                <w:b/>
              </w:rPr>
            </w:pPr>
          </w:p>
        </w:tc>
        <w:tc>
          <w:tcPr>
            <w:tcW w:w="867" w:type="dxa"/>
            <w:shd w:val="clear" w:color="auto" w:fill="auto"/>
          </w:tcPr>
          <w:p w:rsidR="006A1E00" w:rsidRPr="00F00BB4" w:rsidRDefault="006A1E00" w:rsidP="00725CFE">
            <w:pPr>
              <w:rPr>
                <w:rFonts w:ascii="Arial" w:eastAsia="Calibri" w:hAnsi="Arial" w:cs="Arial"/>
                <w:b/>
              </w:rPr>
            </w:pPr>
            <w:r>
              <w:rPr>
                <w:rFonts w:ascii="Arial" w:eastAsia="Calibri" w:hAnsi="Arial" w:cs="Arial"/>
                <w:b/>
              </w:rPr>
              <w:t xml:space="preserve"> </w:t>
            </w:r>
            <w:r w:rsidRPr="00F00BB4">
              <w:rPr>
                <w:rFonts w:ascii="Arial" w:eastAsia="Calibri" w:hAnsi="Arial" w:cs="Arial"/>
                <w:b/>
              </w:rPr>
              <w:t xml:space="preserve"> </w:t>
            </w:r>
            <w:r>
              <w:rPr>
                <w:rFonts w:ascii="Arial" w:eastAsia="Calibri" w:hAnsi="Arial" w:cs="Arial"/>
                <w:b/>
              </w:rPr>
              <w:t>I)</w:t>
            </w:r>
          </w:p>
          <w:p w:rsidR="006A1E00" w:rsidRDefault="006A1E00" w:rsidP="00725CFE">
            <w:pPr>
              <w:rPr>
                <w:rFonts w:ascii="Arial" w:hAnsi="Arial" w:cs="Arial"/>
                <w:b/>
              </w:rPr>
            </w:pPr>
          </w:p>
          <w:p w:rsidR="006A1E00" w:rsidRPr="00F00BB4" w:rsidRDefault="006A1E00" w:rsidP="00725CFE">
            <w:pPr>
              <w:rPr>
                <w:rFonts w:ascii="Arial" w:eastAsia="Calibri" w:hAnsi="Arial" w:cs="Arial"/>
                <w:b/>
              </w:rPr>
            </w:pPr>
            <w:r>
              <w:rPr>
                <w:rFonts w:ascii="Arial" w:eastAsia="Calibri" w:hAnsi="Arial" w:cs="Arial"/>
                <w:b/>
              </w:rPr>
              <w:t xml:space="preserve">   </w:t>
            </w:r>
            <w:r w:rsidRPr="00F00BB4">
              <w:rPr>
                <w:rFonts w:ascii="Arial" w:eastAsia="Calibri" w:hAnsi="Arial" w:cs="Arial"/>
                <w:b/>
              </w:rPr>
              <w:t>II)</w:t>
            </w:r>
          </w:p>
          <w:p w:rsidR="006A1E00" w:rsidRPr="00F00BB4" w:rsidRDefault="006A1E00" w:rsidP="00725CFE">
            <w:pPr>
              <w:rPr>
                <w:rFonts w:ascii="Arial" w:eastAsia="Calibri" w:hAnsi="Arial" w:cs="Arial"/>
                <w:b/>
              </w:rPr>
            </w:pPr>
            <w:r w:rsidRPr="00F00BB4">
              <w:rPr>
                <w:rFonts w:ascii="Arial" w:eastAsia="Calibri" w:hAnsi="Arial" w:cs="Arial"/>
                <w:b/>
              </w:rPr>
              <w:t xml:space="preserve">            </w:t>
            </w:r>
          </w:p>
          <w:p w:rsidR="006A1E00" w:rsidRDefault="006A1E00" w:rsidP="00725CFE">
            <w:pPr>
              <w:rPr>
                <w:rFonts w:ascii="Arial" w:hAnsi="Arial" w:cs="Arial"/>
                <w:b/>
              </w:rPr>
            </w:pPr>
            <w:r w:rsidRPr="00F00BB4">
              <w:rPr>
                <w:rFonts w:ascii="Arial" w:eastAsia="Calibri" w:hAnsi="Arial" w:cs="Arial"/>
                <w:b/>
              </w:rPr>
              <w:t xml:space="preserve">   </w:t>
            </w:r>
          </w:p>
          <w:p w:rsidR="006A1E00" w:rsidRPr="00F00BB4" w:rsidRDefault="006A1E00" w:rsidP="00725CFE">
            <w:pPr>
              <w:rPr>
                <w:rFonts w:ascii="Arial" w:eastAsia="Calibri" w:hAnsi="Arial" w:cs="Arial"/>
                <w:b/>
              </w:rPr>
            </w:pPr>
            <w:r w:rsidRPr="00F00BB4">
              <w:rPr>
                <w:rFonts w:ascii="Arial" w:eastAsia="Calibri" w:hAnsi="Arial" w:cs="Arial"/>
                <w:b/>
              </w:rPr>
              <w:t xml:space="preserve"> III)              </w:t>
            </w:r>
          </w:p>
          <w:p w:rsidR="006A1E00" w:rsidRPr="00F00BB4" w:rsidRDefault="006A1E00" w:rsidP="00725CFE">
            <w:pPr>
              <w:rPr>
                <w:rFonts w:ascii="Arial" w:eastAsia="Calibri" w:hAnsi="Arial" w:cs="Arial"/>
                <w:b/>
              </w:rPr>
            </w:pPr>
          </w:p>
          <w:p w:rsidR="006A1E00" w:rsidRPr="00F00BB4" w:rsidRDefault="006A1E00" w:rsidP="00725CFE">
            <w:pPr>
              <w:rPr>
                <w:rFonts w:ascii="Arial" w:eastAsia="Calibri" w:hAnsi="Arial" w:cs="Arial"/>
                <w:b/>
              </w:rPr>
            </w:pPr>
            <w:r w:rsidRPr="00F00BB4">
              <w:rPr>
                <w:rFonts w:ascii="Arial" w:eastAsia="Calibri" w:hAnsi="Arial" w:cs="Arial"/>
                <w:b/>
              </w:rPr>
              <w:t xml:space="preserve">        </w:t>
            </w:r>
          </w:p>
          <w:p w:rsidR="006A1E00" w:rsidRPr="00F00BB4" w:rsidRDefault="006A1E00" w:rsidP="00725CFE">
            <w:pPr>
              <w:rPr>
                <w:rFonts w:ascii="Arial" w:eastAsia="Calibri" w:hAnsi="Arial" w:cs="Arial"/>
                <w:b/>
              </w:rPr>
            </w:pPr>
            <w:r>
              <w:rPr>
                <w:rFonts w:ascii="Arial" w:hAnsi="Arial" w:cs="Arial"/>
                <w:b/>
              </w:rPr>
              <w:t xml:space="preserve">  </w:t>
            </w:r>
            <w:r>
              <w:rPr>
                <w:rFonts w:ascii="Arial" w:eastAsia="Calibri" w:hAnsi="Arial" w:cs="Arial"/>
                <w:b/>
              </w:rPr>
              <w:t xml:space="preserve"> </w:t>
            </w:r>
            <w:r w:rsidRPr="00F00BB4">
              <w:rPr>
                <w:rFonts w:ascii="Arial" w:eastAsia="Calibri" w:hAnsi="Arial" w:cs="Arial"/>
                <w:b/>
              </w:rPr>
              <w:t xml:space="preserve">IV)     </w:t>
            </w:r>
          </w:p>
          <w:p w:rsidR="006A1E00" w:rsidRPr="00F00BB4" w:rsidRDefault="006A1E00" w:rsidP="00725CFE">
            <w:pPr>
              <w:rPr>
                <w:rFonts w:ascii="Arial" w:eastAsia="Calibri" w:hAnsi="Arial" w:cs="Arial"/>
                <w:b/>
              </w:rPr>
            </w:pPr>
          </w:p>
          <w:p w:rsidR="006A1E00" w:rsidRPr="00F00BB4" w:rsidRDefault="006A1E00" w:rsidP="00725CFE">
            <w:pPr>
              <w:rPr>
                <w:rFonts w:ascii="Arial" w:eastAsia="Calibri" w:hAnsi="Arial" w:cs="Arial"/>
                <w:b/>
              </w:rPr>
            </w:pPr>
          </w:p>
          <w:p w:rsidR="006A1E00" w:rsidRPr="00F00BB4" w:rsidRDefault="006A1E00" w:rsidP="00725CFE">
            <w:pPr>
              <w:rPr>
                <w:rFonts w:ascii="Arial" w:eastAsia="Calibri" w:hAnsi="Arial" w:cs="Arial"/>
                <w:b/>
              </w:rPr>
            </w:pPr>
            <w:r>
              <w:rPr>
                <w:rFonts w:ascii="Arial" w:eastAsia="Calibri" w:hAnsi="Arial" w:cs="Arial"/>
                <w:b/>
              </w:rPr>
              <w:t xml:space="preserve">     V) </w:t>
            </w:r>
          </w:p>
          <w:p w:rsidR="006A1E00" w:rsidRPr="00F00BB4" w:rsidRDefault="006A1E00" w:rsidP="00725CFE">
            <w:pPr>
              <w:rPr>
                <w:rFonts w:ascii="Arial" w:eastAsia="Calibri" w:hAnsi="Arial" w:cs="Arial"/>
                <w:b/>
              </w:rPr>
            </w:pPr>
            <w:r>
              <w:rPr>
                <w:rFonts w:ascii="Arial" w:eastAsia="Calibri" w:hAnsi="Arial" w:cs="Arial"/>
                <w:b/>
              </w:rPr>
              <w:t xml:space="preserve">    </w:t>
            </w:r>
          </w:p>
          <w:p w:rsidR="006A1E00" w:rsidRPr="00F00BB4" w:rsidRDefault="006A1E00" w:rsidP="00725CFE">
            <w:pPr>
              <w:rPr>
                <w:rFonts w:ascii="Arial" w:eastAsia="Calibri" w:hAnsi="Arial" w:cs="Arial"/>
                <w:b/>
              </w:rPr>
            </w:pPr>
          </w:p>
          <w:p w:rsidR="006A1E00" w:rsidRPr="00F00BB4" w:rsidRDefault="006A1E00" w:rsidP="00725CFE">
            <w:pPr>
              <w:rPr>
                <w:rFonts w:ascii="Arial" w:eastAsia="Calibri" w:hAnsi="Arial" w:cs="Arial"/>
                <w:b/>
              </w:rPr>
            </w:pPr>
            <w:r w:rsidRPr="00F00BB4">
              <w:rPr>
                <w:rFonts w:ascii="Arial" w:eastAsia="Calibri" w:hAnsi="Arial" w:cs="Arial"/>
                <w:b/>
              </w:rPr>
              <w:t xml:space="preserve">    </w:t>
            </w:r>
          </w:p>
          <w:p w:rsidR="006A1E00" w:rsidRPr="00F00BB4" w:rsidRDefault="006A1E00" w:rsidP="00725CFE">
            <w:pPr>
              <w:rPr>
                <w:rFonts w:ascii="Arial" w:eastAsia="Calibri" w:hAnsi="Arial" w:cs="Arial"/>
                <w:b/>
              </w:rPr>
            </w:pPr>
            <w:r w:rsidRPr="00F00BB4">
              <w:rPr>
                <w:rFonts w:ascii="Arial" w:eastAsia="Calibri" w:hAnsi="Arial" w:cs="Arial"/>
                <w:b/>
              </w:rPr>
              <w:t xml:space="preserve">     </w:t>
            </w:r>
            <w:r>
              <w:rPr>
                <w:rFonts w:ascii="Arial" w:eastAsia="Calibri" w:hAnsi="Arial" w:cs="Arial"/>
                <w:b/>
              </w:rPr>
              <w:t xml:space="preserve"> </w:t>
            </w:r>
          </w:p>
          <w:p w:rsidR="006A1E00" w:rsidRPr="00F00BB4" w:rsidRDefault="006A1E00" w:rsidP="00725CFE">
            <w:pPr>
              <w:rPr>
                <w:rFonts w:ascii="Arial" w:eastAsia="Calibri" w:hAnsi="Arial" w:cs="Arial"/>
                <w:b/>
              </w:rPr>
            </w:pPr>
            <w:r w:rsidRPr="00F00BB4">
              <w:rPr>
                <w:rFonts w:ascii="Arial" w:eastAsia="Calibri" w:hAnsi="Arial" w:cs="Arial"/>
                <w:b/>
              </w:rPr>
              <w:t xml:space="preserve">     </w:t>
            </w:r>
          </w:p>
        </w:tc>
        <w:tc>
          <w:tcPr>
            <w:tcW w:w="6344" w:type="dxa"/>
            <w:shd w:val="clear" w:color="auto" w:fill="auto"/>
          </w:tcPr>
          <w:p w:rsidR="006A1E00" w:rsidRPr="00A64534" w:rsidRDefault="006A1E00" w:rsidP="00725CFE">
            <w:pPr>
              <w:jc w:val="both"/>
              <w:rPr>
                <w:rFonts w:ascii="Arial" w:eastAsia="Calibri" w:hAnsi="Arial" w:cs="Arial"/>
              </w:rPr>
            </w:pPr>
            <w:r w:rsidRPr="00A64534">
              <w:rPr>
                <w:rFonts w:ascii="Arial" w:eastAsia="Calibri" w:hAnsi="Arial" w:cs="Arial"/>
              </w:rPr>
              <w:t>Aprobación del Acta N°</w:t>
            </w:r>
            <w:r>
              <w:rPr>
                <w:rFonts w:ascii="Arial" w:eastAsia="Calibri" w:hAnsi="Arial" w:cs="Arial"/>
              </w:rPr>
              <w:t xml:space="preserve"> 64 </w:t>
            </w:r>
            <w:r w:rsidRPr="00A64534">
              <w:rPr>
                <w:rFonts w:ascii="Arial" w:eastAsia="Calibri" w:hAnsi="Arial" w:cs="Arial"/>
              </w:rPr>
              <w:t xml:space="preserve">correspondiente a la sesión del día </w:t>
            </w:r>
            <w:r>
              <w:rPr>
                <w:rFonts w:ascii="Arial" w:eastAsia="Calibri" w:hAnsi="Arial" w:cs="Arial"/>
              </w:rPr>
              <w:t>14 de mayo</w:t>
            </w:r>
            <w:r w:rsidRPr="00A64534">
              <w:rPr>
                <w:rFonts w:ascii="Arial" w:eastAsia="Calibri" w:hAnsi="Arial" w:cs="Arial"/>
              </w:rPr>
              <w:t xml:space="preserve"> de 2019 </w:t>
            </w:r>
            <w:r>
              <w:rPr>
                <w:rFonts w:ascii="Arial" w:eastAsia="Calibri" w:hAnsi="Arial" w:cs="Arial"/>
              </w:rPr>
              <w:t>en el Municipio de La Paloma</w:t>
            </w:r>
          </w:p>
          <w:p w:rsidR="006A1E00" w:rsidRPr="00A64534" w:rsidRDefault="006A1E00" w:rsidP="00725CFE">
            <w:pPr>
              <w:jc w:val="both"/>
              <w:rPr>
                <w:rFonts w:ascii="Arial" w:eastAsia="Calibri" w:hAnsi="Arial" w:cs="Arial"/>
              </w:rPr>
            </w:pPr>
          </w:p>
          <w:p w:rsidR="006A1E00" w:rsidRDefault="006A1E00" w:rsidP="00725CFE">
            <w:pPr>
              <w:jc w:val="both"/>
              <w:rPr>
                <w:rFonts w:ascii="Arial" w:eastAsia="Calibri" w:hAnsi="Arial" w:cs="Arial"/>
              </w:rPr>
            </w:pPr>
            <w:r>
              <w:rPr>
                <w:rFonts w:ascii="Arial" w:eastAsia="Calibri" w:hAnsi="Arial" w:cs="Arial"/>
              </w:rPr>
              <w:t>Comunicación del Municipio de Tranquera</w:t>
            </w:r>
            <w:r>
              <w:rPr>
                <w:rFonts w:ascii="Arial" w:hAnsi="Arial" w:cs="Arial"/>
              </w:rPr>
              <w:t>s Oficio Nº 561/19</w:t>
            </w:r>
          </w:p>
          <w:p w:rsidR="006A1E00" w:rsidRDefault="006A1E00" w:rsidP="00725CFE">
            <w:pPr>
              <w:jc w:val="both"/>
              <w:rPr>
                <w:rFonts w:ascii="Arial" w:eastAsia="Calibri" w:hAnsi="Arial" w:cs="Arial"/>
              </w:rPr>
            </w:pPr>
          </w:p>
          <w:p w:rsidR="006A1E00" w:rsidRDefault="006A1E00" w:rsidP="00725CFE">
            <w:pPr>
              <w:jc w:val="both"/>
              <w:rPr>
                <w:rFonts w:ascii="Arial" w:eastAsia="Calibri" w:hAnsi="Arial" w:cs="Arial"/>
              </w:rPr>
            </w:pPr>
            <w:r>
              <w:rPr>
                <w:rFonts w:ascii="Arial" w:eastAsia="Calibri" w:hAnsi="Arial" w:cs="Arial"/>
              </w:rPr>
              <w:t>Informe de la Comisión de Turismo sobre avances del Foro Internacional de Municipios</w:t>
            </w:r>
          </w:p>
          <w:p w:rsidR="006A1E00" w:rsidRPr="00A64534" w:rsidRDefault="006A1E00" w:rsidP="00725CFE">
            <w:pPr>
              <w:jc w:val="both"/>
              <w:rPr>
                <w:rFonts w:ascii="Arial" w:eastAsia="Calibri" w:hAnsi="Arial" w:cs="Arial"/>
              </w:rPr>
            </w:pPr>
            <w:r w:rsidRPr="00A64534">
              <w:rPr>
                <w:rFonts w:ascii="Arial" w:eastAsia="Calibri" w:hAnsi="Arial" w:cs="Arial"/>
              </w:rPr>
              <w:t xml:space="preserve"> </w:t>
            </w:r>
          </w:p>
          <w:p w:rsidR="006A1E00" w:rsidRPr="00A64534" w:rsidRDefault="006A1E00" w:rsidP="00725CFE">
            <w:pPr>
              <w:jc w:val="both"/>
              <w:rPr>
                <w:rFonts w:ascii="Arial" w:eastAsia="Calibri" w:hAnsi="Arial" w:cs="Arial"/>
              </w:rPr>
            </w:pPr>
          </w:p>
          <w:p w:rsidR="006A1E00" w:rsidRDefault="006A1E00" w:rsidP="00725CFE">
            <w:pPr>
              <w:jc w:val="both"/>
              <w:rPr>
                <w:rFonts w:ascii="Arial" w:eastAsia="Calibri" w:hAnsi="Arial" w:cs="Arial"/>
              </w:rPr>
            </w:pPr>
            <w:r>
              <w:rPr>
                <w:rFonts w:ascii="Arial" w:eastAsia="Calibri" w:hAnsi="Arial" w:cs="Arial"/>
              </w:rPr>
              <w:t>Informe del Alcalde Alfredo Barreiro sobre el 21º Encuentro de la Red de Municipios de la Cuenca del Río Santa Lucía</w:t>
            </w:r>
          </w:p>
          <w:p w:rsidR="006A1E00" w:rsidRPr="00A64534" w:rsidRDefault="006A1E00" w:rsidP="00725CFE">
            <w:pPr>
              <w:jc w:val="both"/>
              <w:rPr>
                <w:rFonts w:ascii="Arial" w:eastAsia="Calibri" w:hAnsi="Arial" w:cs="Arial"/>
              </w:rPr>
            </w:pPr>
          </w:p>
          <w:p w:rsidR="006A1E00" w:rsidRPr="00A64534" w:rsidRDefault="006A1E00" w:rsidP="00725CFE">
            <w:pPr>
              <w:jc w:val="both"/>
              <w:rPr>
                <w:rFonts w:ascii="Arial" w:eastAsia="Calibri" w:hAnsi="Arial" w:cs="Arial"/>
              </w:rPr>
            </w:pPr>
            <w:r>
              <w:rPr>
                <w:rFonts w:ascii="Arial" w:eastAsia="Calibri" w:hAnsi="Arial" w:cs="Arial"/>
              </w:rPr>
              <w:t>Consulta a coordinadores del CI sobre seguimiento de fecha de reunión de Mesa Ejecutiva con Mesa del Congreso de Intendentes</w:t>
            </w:r>
          </w:p>
          <w:p w:rsidR="006A1E00" w:rsidRPr="00A64534" w:rsidRDefault="006A1E00" w:rsidP="00725CFE">
            <w:pPr>
              <w:jc w:val="both"/>
              <w:rPr>
                <w:rFonts w:ascii="Arial" w:eastAsia="Calibri" w:hAnsi="Arial" w:cs="Arial"/>
              </w:rPr>
            </w:pPr>
          </w:p>
        </w:tc>
      </w:tr>
    </w:tbl>
    <w:p w:rsidR="006A1E00" w:rsidRPr="007636C2" w:rsidRDefault="006A1E00" w:rsidP="006A1E00">
      <w:pPr>
        <w:jc w:val="center"/>
      </w:pPr>
    </w:p>
    <w:p w:rsidR="006A1E00" w:rsidRDefault="006A1E00" w:rsidP="006A1E00">
      <w:pPr>
        <w:spacing w:line="360" w:lineRule="auto"/>
        <w:jc w:val="both"/>
        <w:rPr>
          <w:rFonts w:ascii="Arial" w:hAnsi="Arial" w:cs="Arial"/>
          <w:b/>
        </w:rPr>
      </w:pPr>
    </w:p>
    <w:p w:rsidR="006A1E00" w:rsidRDefault="006A1E00" w:rsidP="006A1E00">
      <w:pPr>
        <w:spacing w:line="360" w:lineRule="auto"/>
        <w:jc w:val="both"/>
        <w:rPr>
          <w:rFonts w:ascii="Arial" w:hAnsi="Arial" w:cs="Arial"/>
          <w:b/>
        </w:rPr>
      </w:pPr>
    </w:p>
    <w:p w:rsidR="006A1E00" w:rsidRDefault="006A1E00" w:rsidP="006A1E00">
      <w:pPr>
        <w:spacing w:line="360" w:lineRule="auto"/>
        <w:jc w:val="both"/>
        <w:rPr>
          <w:rFonts w:ascii="Arial" w:hAnsi="Arial" w:cs="Arial"/>
          <w:b/>
        </w:rPr>
      </w:pPr>
    </w:p>
    <w:p w:rsidR="006A1E00" w:rsidRDefault="006A1E00" w:rsidP="006A1E00">
      <w:pPr>
        <w:spacing w:line="360" w:lineRule="auto"/>
        <w:jc w:val="both"/>
        <w:rPr>
          <w:rFonts w:ascii="Arial" w:hAnsi="Arial" w:cs="Arial"/>
          <w:b/>
        </w:rPr>
      </w:pPr>
      <w:r>
        <w:rPr>
          <w:rFonts w:ascii="Arial" w:hAnsi="Arial" w:cs="Arial"/>
        </w:rPr>
        <w:lastRenderedPageBreak/>
        <w:t>.</w:t>
      </w:r>
      <w:r w:rsidRPr="006A1E00">
        <w:rPr>
          <w:rFonts w:ascii="Arial" w:hAnsi="Arial" w:cs="Arial"/>
          <w:b/>
        </w:rPr>
        <w:t xml:space="preserve"> </w:t>
      </w:r>
    </w:p>
    <w:p w:rsidR="006A1E00" w:rsidRDefault="006A1E00" w:rsidP="006A1E00">
      <w:pPr>
        <w:spacing w:line="360" w:lineRule="auto"/>
        <w:jc w:val="both"/>
        <w:rPr>
          <w:rFonts w:ascii="Arial" w:hAnsi="Arial" w:cs="Arial"/>
          <w:b/>
        </w:rPr>
      </w:pPr>
      <w:r>
        <w:rPr>
          <w:rFonts w:ascii="Arial" w:hAnsi="Arial" w:cs="Arial"/>
          <w:b/>
        </w:rPr>
        <w:t>RESOLUCIONES:</w:t>
      </w:r>
    </w:p>
    <w:p w:rsidR="006A1E00" w:rsidRDefault="006A1E00" w:rsidP="006A1E00">
      <w:pPr>
        <w:spacing w:line="360" w:lineRule="auto"/>
        <w:jc w:val="both"/>
        <w:rPr>
          <w:rFonts w:ascii="Arial" w:hAnsi="Arial" w:cs="Arial"/>
        </w:rPr>
      </w:pPr>
      <w:r>
        <w:rPr>
          <w:rFonts w:ascii="Arial" w:hAnsi="Arial" w:cs="Arial"/>
          <w:b/>
        </w:rPr>
        <w:t>Punto 1)</w:t>
      </w:r>
    </w:p>
    <w:p w:rsidR="006A1E00" w:rsidRDefault="006A1E00" w:rsidP="006A1E00">
      <w:pPr>
        <w:spacing w:line="360" w:lineRule="auto"/>
        <w:jc w:val="both"/>
        <w:rPr>
          <w:rFonts w:ascii="Arial" w:hAnsi="Arial" w:cs="Arial"/>
        </w:rPr>
      </w:pPr>
      <w:r>
        <w:rPr>
          <w:rFonts w:ascii="Arial" w:hAnsi="Arial" w:cs="Arial"/>
        </w:rPr>
        <w:t>Resolución N° 037/2019- Se resuelve:</w:t>
      </w:r>
    </w:p>
    <w:p w:rsidR="006A1E00" w:rsidRDefault="006A1E00" w:rsidP="006A1E00">
      <w:pPr>
        <w:widowControl w:val="0"/>
        <w:numPr>
          <w:ilvl w:val="0"/>
          <w:numId w:val="1"/>
        </w:numPr>
        <w:suppressAutoHyphens/>
        <w:spacing w:after="0" w:line="360" w:lineRule="auto"/>
        <w:jc w:val="both"/>
        <w:rPr>
          <w:rFonts w:ascii="Arial" w:hAnsi="Arial" w:cs="Arial"/>
        </w:rPr>
      </w:pPr>
      <w:r>
        <w:rPr>
          <w:rFonts w:ascii="Arial" w:hAnsi="Arial" w:cs="Arial"/>
        </w:rPr>
        <w:t>Aprobar el Acta 64 de fecha 14 de mayo de 2019 y proceder a su firma.</w:t>
      </w:r>
    </w:p>
    <w:p w:rsidR="006A1E00" w:rsidRDefault="006A1E00" w:rsidP="006A1E00">
      <w:pPr>
        <w:spacing w:line="360" w:lineRule="auto"/>
        <w:jc w:val="both"/>
        <w:rPr>
          <w:rFonts w:ascii="Arial" w:hAnsi="Arial" w:cs="Arial"/>
        </w:rPr>
      </w:pPr>
    </w:p>
    <w:p w:rsidR="006A1E00" w:rsidRDefault="006A1E00" w:rsidP="006A1E00">
      <w:pPr>
        <w:spacing w:line="360" w:lineRule="auto"/>
        <w:jc w:val="both"/>
        <w:rPr>
          <w:rFonts w:ascii="Arial" w:hAnsi="Arial" w:cs="Arial"/>
        </w:rPr>
      </w:pPr>
      <w:r>
        <w:rPr>
          <w:rFonts w:ascii="Arial" w:hAnsi="Arial" w:cs="Arial"/>
          <w:b/>
        </w:rPr>
        <w:t>Punto 2)</w:t>
      </w:r>
    </w:p>
    <w:p w:rsidR="006A1E00" w:rsidRDefault="006A1E00" w:rsidP="006A1E00">
      <w:pPr>
        <w:spacing w:line="360" w:lineRule="auto"/>
        <w:jc w:val="both"/>
        <w:rPr>
          <w:rFonts w:ascii="Arial" w:hAnsi="Arial" w:cs="Arial"/>
        </w:rPr>
      </w:pPr>
      <w:r>
        <w:rPr>
          <w:rFonts w:ascii="Arial" w:hAnsi="Arial" w:cs="Arial"/>
        </w:rPr>
        <w:t>Resolución N° 038/2019- Se resuelve:</w:t>
      </w:r>
    </w:p>
    <w:p w:rsidR="006A1E00" w:rsidRDefault="006A1E00" w:rsidP="006A1E00">
      <w:pPr>
        <w:spacing w:line="360" w:lineRule="auto"/>
        <w:jc w:val="both"/>
        <w:rPr>
          <w:rFonts w:ascii="Arial" w:hAnsi="Arial" w:cs="Arial"/>
        </w:rPr>
      </w:pPr>
      <w:r>
        <w:rPr>
          <w:rFonts w:ascii="Arial" w:hAnsi="Arial" w:cs="Arial"/>
        </w:rPr>
        <w:tab/>
        <w:t>- Tomar conocimiento del Oficio de fecha 21/05/2019 remitido por la Intendencia de Rivera.</w:t>
      </w:r>
    </w:p>
    <w:p w:rsidR="006A1E00" w:rsidRDefault="006A1E00" w:rsidP="006A1E00">
      <w:pPr>
        <w:spacing w:line="360" w:lineRule="auto"/>
        <w:jc w:val="both"/>
        <w:rPr>
          <w:rFonts w:ascii="Arial" w:hAnsi="Arial" w:cs="Arial"/>
        </w:rPr>
      </w:pPr>
    </w:p>
    <w:p w:rsidR="006A1E00" w:rsidRDefault="006A1E00" w:rsidP="006A1E00">
      <w:pPr>
        <w:spacing w:line="360" w:lineRule="auto"/>
        <w:jc w:val="both"/>
        <w:rPr>
          <w:rFonts w:ascii="Arial" w:hAnsi="Arial" w:cs="Arial"/>
        </w:rPr>
      </w:pPr>
      <w:r>
        <w:rPr>
          <w:rFonts w:ascii="Arial" w:hAnsi="Arial" w:cs="Arial"/>
          <w:b/>
          <w:bCs/>
        </w:rPr>
        <w:t>Punto 3)</w:t>
      </w:r>
    </w:p>
    <w:p w:rsidR="006A1E00" w:rsidRDefault="006A1E00" w:rsidP="006A1E00">
      <w:pPr>
        <w:spacing w:line="360" w:lineRule="auto"/>
        <w:jc w:val="both"/>
        <w:rPr>
          <w:rFonts w:ascii="Arial" w:hAnsi="Arial" w:cs="Arial"/>
        </w:rPr>
      </w:pPr>
      <w:r>
        <w:rPr>
          <w:rFonts w:ascii="Arial" w:hAnsi="Arial" w:cs="Arial"/>
        </w:rPr>
        <w:t>Resolución N° 039/2019- Se resuelve:</w:t>
      </w:r>
    </w:p>
    <w:p w:rsidR="006A1E00" w:rsidRDefault="006A1E00" w:rsidP="006A1E00">
      <w:pPr>
        <w:spacing w:line="360" w:lineRule="auto"/>
        <w:jc w:val="both"/>
        <w:rPr>
          <w:rFonts w:ascii="Arial" w:hAnsi="Arial" w:cs="Arial"/>
        </w:rPr>
      </w:pPr>
      <w:r>
        <w:rPr>
          <w:rFonts w:ascii="Arial" w:hAnsi="Arial" w:cs="Arial"/>
        </w:rPr>
        <w:t xml:space="preserve">-Tomar .conocimiento de lo informado por algunos de los asistentes a la reunión de la Comisión de Turismo del Plenario de Municipios del día de la fecha. Con tal motivo la Lic. Berruti informa que la Comisión pretende que la Mesa resuelva respecto a los 4 puntos indicados en el documento borrador elaborado por la Secretaría, a saber: Los objetivos del Foro Internacional, el público objetivo,  los expositores internacionales y el cronograma de trabajo. El Presidente Ciganda indica que entonces los Temas específicos serian: Avances y desafíos del proceso descentralizador así como Internacionalización del Plenario, región y Europa. Fleitas indica que entiende que la representación de la Mesa sea de Presidente y Vices, o sea una representación política, y que también estén los Coordinadores, además de que los expositores vengan un día antes del evento para interactuar con ellos, a la vez que indica que hay que convocar a la UE, a la OPP,  al PNUD y al MINTUR. </w:t>
      </w:r>
    </w:p>
    <w:p w:rsidR="006A1E00" w:rsidRDefault="006A1E00" w:rsidP="006A1E00">
      <w:pPr>
        <w:spacing w:line="360" w:lineRule="auto"/>
        <w:jc w:val="both"/>
        <w:rPr>
          <w:rFonts w:ascii="Arial" w:hAnsi="Arial" w:cs="Arial"/>
        </w:rPr>
      </w:pPr>
      <w:r>
        <w:rPr>
          <w:rFonts w:ascii="Arial" w:hAnsi="Arial" w:cs="Arial"/>
        </w:rPr>
        <w:t>Se acuerda que sean estos los convocados y se resuelve realizar una nota de invitación a la UE, OPP y al PNUD.</w:t>
      </w:r>
    </w:p>
    <w:p w:rsidR="006A1E00" w:rsidRDefault="006A1E00" w:rsidP="006A1E00">
      <w:pPr>
        <w:spacing w:line="360" w:lineRule="auto"/>
        <w:jc w:val="both"/>
        <w:rPr>
          <w:rFonts w:ascii="Arial" w:hAnsi="Arial" w:cs="Arial"/>
        </w:rPr>
      </w:pPr>
      <w:r>
        <w:rPr>
          <w:rFonts w:ascii="Arial" w:hAnsi="Arial" w:cs="Arial"/>
        </w:rPr>
        <w:t>Se maneja que la invitación sea en principio para los miembros de los Concejos Municipales, porque hay que ver la capacidad locativa del Salón Azul.</w:t>
      </w:r>
    </w:p>
    <w:p w:rsidR="006A1E00" w:rsidRDefault="006A1E00" w:rsidP="006A1E00">
      <w:pPr>
        <w:spacing w:line="360" w:lineRule="auto"/>
        <w:jc w:val="both"/>
        <w:rPr>
          <w:rFonts w:ascii="Arial" w:hAnsi="Arial" w:cs="Arial"/>
        </w:rPr>
      </w:pPr>
      <w:r>
        <w:rPr>
          <w:rFonts w:ascii="Arial" w:hAnsi="Arial" w:cs="Arial"/>
        </w:rPr>
        <w:lastRenderedPageBreak/>
        <w:t>Se acuerda que hay que hacer invitaciones a los Intendentes Departamentales y que ellos decidan a quien mandan. Se coincide por los demás miembros de la Mesa en cuanto a la necesidad de que haya mujeres entre los expositores.</w:t>
      </w:r>
    </w:p>
    <w:p w:rsidR="006A1E00" w:rsidRDefault="006A1E00" w:rsidP="006A1E00">
      <w:pPr>
        <w:spacing w:line="360" w:lineRule="auto"/>
        <w:jc w:val="both"/>
        <w:rPr>
          <w:rFonts w:ascii="Arial" w:hAnsi="Arial" w:cs="Arial"/>
          <w:b/>
        </w:rPr>
      </w:pPr>
      <w:r>
        <w:rPr>
          <w:rFonts w:ascii="Arial" w:hAnsi="Arial" w:cs="Arial"/>
          <w:b/>
          <w:bCs/>
        </w:rPr>
        <w:t>Punto 4)</w:t>
      </w:r>
    </w:p>
    <w:p w:rsidR="006A1E00" w:rsidRDefault="006A1E00" w:rsidP="006A1E00">
      <w:pPr>
        <w:spacing w:line="360" w:lineRule="auto"/>
        <w:jc w:val="both"/>
        <w:rPr>
          <w:rFonts w:ascii="Arial" w:hAnsi="Arial" w:cs="Arial"/>
        </w:rPr>
      </w:pPr>
      <w:r>
        <w:rPr>
          <w:rFonts w:ascii="Arial" w:hAnsi="Arial" w:cs="Arial"/>
        </w:rPr>
        <w:t>Resolución N° 040/2019- Se resuelve:</w:t>
      </w:r>
    </w:p>
    <w:p w:rsidR="006A1E00" w:rsidRDefault="006A1E00" w:rsidP="006A1E00">
      <w:pPr>
        <w:spacing w:line="360" w:lineRule="auto"/>
        <w:ind w:firstLine="360"/>
        <w:jc w:val="both"/>
        <w:rPr>
          <w:rFonts w:ascii="Arial" w:hAnsi="Arial" w:cs="Arial"/>
        </w:rPr>
      </w:pPr>
      <w:r>
        <w:rPr>
          <w:rFonts w:ascii="Arial" w:hAnsi="Arial" w:cs="Arial"/>
        </w:rPr>
        <w:t xml:space="preserve">-Tomar conocimiento de lo informado por el Alcalde Barreiro en cuanto a la 21ra. Reunión de la Red de Municipios de la Cuenca del Santa Lucia, la que a su entender fue buena y provechosa, habiendo mejorado la asistencia de Municipios  ya que estuvieron representados 11 de 19 Municipios. Que ello también se debió a la presencia del Presidente de la OSE Ing. Milton Machado, quien hizo una exposición muy minuciosa del estado actual del Rio Santa Lucia, que como sabemos es un rio con un montón de problemas y con contaminación de diferentes tipos, la común de las industrias y la difusa que no es fácil de determinar. </w:t>
      </w:r>
    </w:p>
    <w:p w:rsidR="006A1E00" w:rsidRDefault="006A1E00" w:rsidP="006A1E00">
      <w:pPr>
        <w:spacing w:line="360" w:lineRule="auto"/>
        <w:ind w:firstLine="360"/>
        <w:jc w:val="both"/>
        <w:rPr>
          <w:rFonts w:ascii="Arial" w:hAnsi="Arial" w:cs="Arial"/>
        </w:rPr>
      </w:pPr>
      <w:r>
        <w:rPr>
          <w:rFonts w:ascii="Arial" w:hAnsi="Arial" w:cs="Arial"/>
        </w:rPr>
        <w:t>-Se aprueba hacer una declaración de la Mesa a favor de la campaña Mares Limpios y una exhortación a todos los Municipios para adherirse a la  misma.</w:t>
      </w:r>
    </w:p>
    <w:p w:rsidR="006A1E00" w:rsidRDefault="006A1E00" w:rsidP="006A1E00">
      <w:pPr>
        <w:spacing w:line="360" w:lineRule="auto"/>
        <w:ind w:firstLine="360"/>
        <w:jc w:val="both"/>
        <w:rPr>
          <w:rFonts w:ascii="Arial" w:hAnsi="Arial" w:cs="Arial"/>
        </w:rPr>
      </w:pPr>
    </w:p>
    <w:p w:rsidR="006A1E00" w:rsidRDefault="006A1E00" w:rsidP="006A1E00">
      <w:pPr>
        <w:spacing w:line="360" w:lineRule="auto"/>
        <w:jc w:val="both"/>
        <w:rPr>
          <w:rFonts w:ascii="Arial" w:hAnsi="Arial" w:cs="Arial"/>
          <w:b/>
        </w:rPr>
      </w:pPr>
      <w:r>
        <w:rPr>
          <w:rFonts w:ascii="Arial" w:hAnsi="Arial" w:cs="Arial"/>
          <w:b/>
          <w:bCs/>
        </w:rPr>
        <w:t>Punto 5)</w:t>
      </w:r>
    </w:p>
    <w:p w:rsidR="006A1E00" w:rsidRDefault="006A1E00" w:rsidP="006A1E00">
      <w:pPr>
        <w:spacing w:line="360" w:lineRule="auto"/>
        <w:jc w:val="both"/>
        <w:rPr>
          <w:rFonts w:ascii="Arial" w:hAnsi="Arial" w:cs="Arial"/>
        </w:rPr>
      </w:pPr>
      <w:r>
        <w:rPr>
          <w:rFonts w:ascii="Arial" w:hAnsi="Arial" w:cs="Arial"/>
        </w:rPr>
        <w:t>Resolución N° 041/2019- Se resuelve:</w:t>
      </w:r>
    </w:p>
    <w:p w:rsidR="006A1E00" w:rsidRDefault="006A1E00" w:rsidP="006A1E00">
      <w:pPr>
        <w:spacing w:line="360" w:lineRule="auto"/>
        <w:jc w:val="both"/>
        <w:rPr>
          <w:rFonts w:ascii="Arial" w:hAnsi="Arial" w:cs="Arial"/>
        </w:rPr>
      </w:pPr>
      <w:r>
        <w:rPr>
          <w:rFonts w:ascii="Arial" w:hAnsi="Arial" w:cs="Arial"/>
        </w:rPr>
        <w:t>-Tomar conocimiento de lo informado por el Coordinador Bonino respecto a que formalmente no hay una fecha fijada pero en principio se entiende que sería el jueves 6 de junio.</w:t>
      </w:r>
    </w:p>
    <w:p w:rsidR="006A1E00" w:rsidRDefault="006A1E00" w:rsidP="006A1E00">
      <w:pPr>
        <w:spacing w:line="360" w:lineRule="auto"/>
        <w:jc w:val="both"/>
        <w:rPr>
          <w:rFonts w:ascii="Arial" w:hAnsi="Arial" w:cs="Arial"/>
        </w:rPr>
      </w:pPr>
      <w:r>
        <w:rPr>
          <w:rFonts w:ascii="Arial" w:hAnsi="Arial" w:cs="Arial"/>
        </w:rPr>
        <w:t xml:space="preserve">En cuanto a los Talleres de perspectiva de género informa que hubo una tanda el año pasado y que ahora va a haber otra, especialmente por la inclusión de la perspectiva de género en los proyectos de riesgo, y se van a hacer por región, siendo la sugerencia básica hacerlo primero en Montevideo el 12/07, luego el 26/07 en la región centro (Flores, Florida, San José y Durazno), el 02/08 en la región este (T y Tres Lavalleja, Maldonado y Rocha), el 08/08 o 09/08 en la región litoral (Salto, Paysandú, Rio Negro Soriano y Colonia) y finalmente el 16/08 en la región norte (Artigas, Rivera , Tacuarembó y ¿Cerro Largo?. </w:t>
      </w:r>
    </w:p>
    <w:p w:rsidR="006A1E00" w:rsidRDefault="006A1E00" w:rsidP="006A1E00">
      <w:pPr>
        <w:spacing w:line="360" w:lineRule="auto"/>
        <w:jc w:val="both"/>
        <w:rPr>
          <w:rFonts w:ascii="Arial" w:hAnsi="Arial" w:cs="Arial"/>
        </w:rPr>
      </w:pPr>
      <w:r>
        <w:rPr>
          <w:rFonts w:ascii="Arial" w:hAnsi="Arial" w:cs="Arial"/>
        </w:rPr>
        <w:t>Finalmente se acuerda fijar la fecha de la próxima sesión de la Mesa el día 10 de junio.</w:t>
      </w:r>
    </w:p>
    <w:p w:rsidR="006A1E00" w:rsidRDefault="006A1E00" w:rsidP="006A1E00">
      <w:pPr>
        <w:spacing w:line="360" w:lineRule="auto"/>
        <w:jc w:val="both"/>
        <w:rPr>
          <w:rFonts w:ascii="Arial" w:hAnsi="Arial" w:cs="Arial"/>
        </w:rPr>
      </w:pPr>
    </w:p>
    <w:p w:rsidR="006A1E00" w:rsidRDefault="006A1E00" w:rsidP="006A1E00"/>
    <w:p w:rsidR="00AB60AD" w:rsidRDefault="00AB60AD"/>
    <w:sectPr w:rsidR="00AB60AD" w:rsidSect="00AB60A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panose1 w:val="05010000000000000000"/>
    <w:charset w:val="00"/>
    <w:family w:val="auto"/>
    <w:pitch w:val="variable"/>
    <w:sig w:usb0="800000AF" w:usb1="1001ECEA"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1E00"/>
    <w:rsid w:val="00014CAC"/>
    <w:rsid w:val="001B5294"/>
    <w:rsid w:val="00322882"/>
    <w:rsid w:val="006A1E00"/>
    <w:rsid w:val="00915A96"/>
    <w:rsid w:val="00AB60A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UY" w:eastAsia="es-UY"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UY" w:eastAsia="es-UY"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654</Words>
  <Characters>3599</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Fernando</dc:creator>
  <cp:lastModifiedBy>Micaela Araujo</cp:lastModifiedBy>
  <cp:revision>2</cp:revision>
  <dcterms:created xsi:type="dcterms:W3CDTF">2019-06-11T01:04:00Z</dcterms:created>
  <dcterms:modified xsi:type="dcterms:W3CDTF">2019-06-11T01:04:00Z</dcterms:modified>
</cp:coreProperties>
</file>